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A55904" w14:textId="77777777" w:rsidR="00000000" w:rsidRDefault="001450B6">
      <w:pPr>
        <w:pStyle w:val="form-e"/>
        <w:tabs>
          <w:tab w:val="clear" w:pos="0"/>
        </w:tabs>
      </w:pPr>
      <w:r>
        <w:t>Form 27C</w:t>
      </w:r>
    </w:p>
    <w:p w14:paraId="7054E98F" w14:textId="77777777" w:rsidR="00000000" w:rsidRDefault="001450B6">
      <w:pPr>
        <w:pStyle w:val="act-e"/>
        <w:tabs>
          <w:tab w:val="clear" w:pos="0"/>
        </w:tabs>
      </w:pPr>
      <w:r>
        <w:t>Courts of Justice Act</w:t>
      </w:r>
    </w:p>
    <w:p w14:paraId="0490FD80" w14:textId="77777777" w:rsidR="00000000" w:rsidRDefault="001450B6">
      <w:pPr>
        <w:pStyle w:val="subject-e"/>
        <w:tabs>
          <w:tab w:val="clear" w:pos="0"/>
        </w:tabs>
      </w:pPr>
      <w:r>
        <w:t>defence to counterclaim</w:t>
      </w:r>
    </w:p>
    <w:p w14:paraId="4959D65D" w14:textId="77777777" w:rsidR="00000000" w:rsidRDefault="001450B6">
      <w:pPr>
        <w:pStyle w:val="zparanoindt-e"/>
        <w:tabs>
          <w:tab w:val="clear" w:pos="239"/>
          <w:tab w:val="clear" w:pos="279"/>
        </w:tabs>
        <w:spacing w:before="240" w:after="319"/>
        <w:jc w:val="center"/>
        <w:rPr>
          <w:i/>
        </w:rPr>
      </w:pPr>
      <w:r>
        <w:rPr>
          <w:i/>
        </w:rPr>
        <w:t>(General heading, including second title of proceeding, if required)</w:t>
      </w:r>
    </w:p>
    <w:p w14:paraId="168196D6" w14:textId="77777777" w:rsidR="00000000" w:rsidRDefault="001450B6">
      <w:pPr>
        <w:pStyle w:val="zparanoindt-e"/>
        <w:tabs>
          <w:tab w:val="left" w:pos="239"/>
        </w:tabs>
        <w:spacing w:after="319"/>
        <w:rPr>
          <w:i/>
        </w:rPr>
      </w:pPr>
      <w:r>
        <w:rPr>
          <w:i/>
        </w:rPr>
        <w:t>(A plaintiff who delivers a reply in the main action must include the defence to counterclaim in the same document as the reply, and</w:t>
      </w:r>
      <w:r>
        <w:rPr>
          <w:i/>
        </w:rPr>
        <w:t xml:space="preserve"> the document is to be entitled</w:t>
      </w:r>
      <w:r>
        <w:t xml:space="preserve"> REPLY AND DEFENCE TO COUNTERCLAIM</w:t>
      </w:r>
      <w:r>
        <w:rPr>
          <w:i/>
        </w:rPr>
        <w:t>.  The defence to counterclaim is to follow immediately after the last paragraph of the reply and the paragraphs are to be numbered in sequence commencing with the number following the number</w:t>
      </w:r>
      <w:r>
        <w:rPr>
          <w:i/>
        </w:rPr>
        <w:t xml:space="preserve"> of the last paragraph of the reply.)</w:t>
      </w:r>
    </w:p>
    <w:p w14:paraId="04845C8C" w14:textId="77777777" w:rsidR="00000000" w:rsidRDefault="001450B6">
      <w:pPr>
        <w:pStyle w:val="zheadingx-e"/>
        <w:spacing w:after="319"/>
      </w:pPr>
      <w:r>
        <w:t>defence to counterclaim</w:t>
      </w:r>
    </w:p>
    <w:p w14:paraId="64DF214D" w14:textId="77777777" w:rsidR="00000000" w:rsidRDefault="001450B6">
      <w:pPr>
        <w:pStyle w:val="zparawtab-e"/>
        <w:tabs>
          <w:tab w:val="clear" w:pos="239"/>
          <w:tab w:val="left" w:pos="0"/>
          <w:tab w:val="left" w:leader="dot" w:pos="9360"/>
        </w:tabs>
        <w:spacing w:after="319"/>
        <w:ind w:left="274" w:hanging="274"/>
      </w:pPr>
      <w:r>
        <w:t>1.</w:t>
      </w:r>
      <w:r>
        <w:tab/>
        <w:t>The defendant to the counterclaim admits the allegations contained in paragraphs</w:t>
      </w:r>
      <w:r>
        <w:tab/>
      </w:r>
      <w:r>
        <w:br/>
        <w:t>of the counterclaim.</w:t>
      </w:r>
    </w:p>
    <w:p w14:paraId="5F0D7AE3" w14:textId="77777777" w:rsidR="00000000" w:rsidRDefault="001450B6">
      <w:pPr>
        <w:pStyle w:val="zparawtab-e"/>
        <w:tabs>
          <w:tab w:val="clear" w:pos="239"/>
          <w:tab w:val="left" w:pos="0"/>
          <w:tab w:val="left" w:leader="dot" w:pos="9360"/>
        </w:tabs>
        <w:spacing w:after="319"/>
        <w:ind w:left="274" w:hanging="274"/>
      </w:pPr>
      <w:r>
        <w:t>2.</w:t>
      </w:r>
      <w:r>
        <w:tab/>
        <w:t>The defendant to the counterclaim denies the allegations contained in paragraphs</w:t>
      </w:r>
      <w:r>
        <w:tab/>
      </w:r>
      <w:r>
        <w:br/>
        <w:t xml:space="preserve">of </w:t>
      </w:r>
      <w:r>
        <w:t>the counterclaim.</w:t>
      </w:r>
    </w:p>
    <w:p w14:paraId="2330303B" w14:textId="77777777" w:rsidR="00000000" w:rsidRDefault="001450B6">
      <w:pPr>
        <w:pStyle w:val="zparawtab-e"/>
        <w:tabs>
          <w:tab w:val="clear" w:pos="239"/>
          <w:tab w:val="left" w:pos="0"/>
          <w:tab w:val="left" w:leader="dot" w:pos="9360"/>
        </w:tabs>
        <w:spacing w:after="319"/>
        <w:ind w:left="274" w:hanging="274"/>
      </w:pPr>
      <w:r>
        <w:t>3.</w:t>
      </w:r>
      <w:r>
        <w:tab/>
        <w:t>The defendant to the counterclaim has no knowledge in respect of the allegations contained in paragraphs</w:t>
      </w:r>
      <w:r>
        <w:tab/>
      </w:r>
      <w:r>
        <w:br/>
        <w:t>of the counterclaim.</w:t>
      </w:r>
    </w:p>
    <w:p w14:paraId="0AB71224" w14:textId="77777777" w:rsidR="00000000" w:rsidRDefault="001450B6">
      <w:pPr>
        <w:pStyle w:val="zparawtab-e"/>
        <w:tabs>
          <w:tab w:val="clear" w:pos="239"/>
          <w:tab w:val="left" w:pos="0"/>
        </w:tabs>
        <w:spacing w:after="319"/>
        <w:ind w:left="274" w:hanging="274"/>
        <w:rPr>
          <w:i/>
        </w:rPr>
      </w:pPr>
      <w:r>
        <w:t>4.</w:t>
      </w:r>
      <w:r>
        <w:tab/>
      </w:r>
      <w:r>
        <w:rPr>
          <w:i/>
        </w:rPr>
        <w:t>(Set out in separate, consecutively numbered paragraphs each allegation of material fact relied on by way</w:t>
      </w:r>
      <w:r>
        <w:rPr>
          <w:i/>
        </w:rPr>
        <w:t xml:space="preserve"> of defence to the counterclaim.)</w:t>
      </w:r>
    </w:p>
    <w:p w14:paraId="2C3FA63A" w14:textId="77777777" w:rsidR="00000000" w:rsidRDefault="001450B6">
      <w:pPr>
        <w:pStyle w:val="table-e"/>
        <w:tabs>
          <w:tab w:val="left" w:pos="3960"/>
        </w:tabs>
        <w:ind w:left="3960" w:hanging="3960"/>
      </w:pPr>
      <w:r>
        <w:rPr>
          <w:i/>
        </w:rPr>
        <w:t>(Date)</w:t>
      </w:r>
      <w:r>
        <w:rPr>
          <w:i/>
        </w:rPr>
        <w:tab/>
        <w:t>(Name, address and telephone number of lawyer for defendant</w:t>
      </w:r>
      <w:r>
        <w:rPr>
          <w:i/>
        </w:rPr>
        <w:br/>
        <w:t xml:space="preserve"> to the counterclaim or defendant to the counterclaim)</w:t>
      </w:r>
    </w:p>
    <w:p w14:paraId="20D8CCEC" w14:textId="77777777" w:rsidR="00000000" w:rsidRDefault="001450B6">
      <w:pPr>
        <w:spacing w:line="239" w:lineRule="exact"/>
        <w:rPr>
          <w:snapToGrid w:val="0"/>
        </w:rPr>
      </w:pPr>
    </w:p>
    <w:p w14:paraId="383A4902" w14:textId="77777777" w:rsidR="00000000" w:rsidRDefault="001450B6">
      <w:pPr>
        <w:pStyle w:val="zparawtab-e"/>
        <w:spacing w:after="319"/>
        <w:ind w:left="1196" w:hanging="1196"/>
        <w:rPr>
          <w:i/>
        </w:rPr>
      </w:pPr>
      <w:r>
        <w:t>TO</w:t>
      </w:r>
      <w:r>
        <w:tab/>
      </w:r>
      <w:r>
        <w:rPr>
          <w:i/>
        </w:rPr>
        <w:tab/>
        <w:t>(Name and address of plaintiff by counterclaim’s lawyer or of plaintiff by counterclaim)</w:t>
      </w:r>
    </w:p>
    <w:p w14:paraId="2F0FB24F" w14:textId="77777777" w:rsidR="00000000" w:rsidRDefault="001450B6">
      <w:pPr>
        <w:pStyle w:val="footnote-e"/>
      </w:pPr>
      <w:r>
        <w:t xml:space="preserve">RCP-E </w:t>
      </w:r>
      <w:r>
        <w:t>27C (July 1, 2007)</w:t>
      </w:r>
    </w:p>
    <w:sectPr w:rsidR="00000000">
      <w:pgSz w:w="12240" w:h="15840"/>
      <w:pgMar w:top="1109" w:right="965" w:bottom="1109" w:left="1195"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3F3036" w14:textId="77777777" w:rsidR="001450B6" w:rsidRDefault="001450B6" w:rsidP="001450B6">
      <w:r>
        <w:separator/>
      </w:r>
    </w:p>
  </w:endnote>
  <w:endnote w:type="continuationSeparator" w:id="0">
    <w:p w14:paraId="3D2B0EFF" w14:textId="77777777" w:rsidR="001450B6" w:rsidRDefault="001450B6" w:rsidP="001450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C6763F" w14:textId="77777777" w:rsidR="001450B6" w:rsidRDefault="001450B6" w:rsidP="001450B6">
      <w:r>
        <w:separator/>
      </w:r>
    </w:p>
  </w:footnote>
  <w:footnote w:type="continuationSeparator" w:id="0">
    <w:p w14:paraId="3EB87A2A" w14:textId="77777777" w:rsidR="001450B6" w:rsidRDefault="001450B6" w:rsidP="001450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revisionView w:inkAnnotations="0"/>
  <w:doNotTrackMoves/>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450B6"/>
    <w:rsid w:val="001450B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BC88E1"/>
  <w15:chartTrackingRefBased/>
  <w15:docId w15:val="{4532ABAC-A09C-44AD-AA03-B854D0FDD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t-e">
    <w:name w:val="act-e"/>
    <w:pPr>
      <w:keepNext/>
      <w:tabs>
        <w:tab w:val="left" w:pos="0"/>
      </w:tabs>
      <w:suppressAutoHyphens/>
      <w:spacing w:before="140" w:line="190" w:lineRule="exact"/>
      <w:jc w:val="center"/>
    </w:pPr>
    <w:rPr>
      <w:i/>
      <w:snapToGrid w:val="0"/>
      <w:lang w:val="en-GB" w:eastAsia="en-US"/>
    </w:rPr>
  </w:style>
  <w:style w:type="paragraph" w:customStyle="1" w:styleId="footnote-e">
    <w:name w:val="footnote-e"/>
    <w:pPr>
      <w:tabs>
        <w:tab w:val="left" w:pos="0"/>
      </w:tabs>
      <w:spacing w:before="111" w:line="209" w:lineRule="exact"/>
      <w:jc w:val="right"/>
    </w:pPr>
    <w:rPr>
      <w:snapToGrid w:val="0"/>
      <w:lang w:val="en-GB" w:eastAsia="en-US"/>
    </w:rPr>
  </w:style>
  <w:style w:type="paragraph" w:customStyle="1" w:styleId="form-e">
    <w:name w:val="form-e"/>
    <w:pPr>
      <w:keepNext/>
      <w:tabs>
        <w:tab w:val="left" w:pos="0"/>
      </w:tabs>
      <w:suppressAutoHyphens/>
      <w:spacing w:before="140" w:line="190" w:lineRule="exact"/>
      <w:jc w:val="center"/>
    </w:pPr>
    <w:rPr>
      <w:caps/>
      <w:snapToGrid w:val="0"/>
      <w:lang w:val="en-GB" w:eastAsia="en-US"/>
    </w:rPr>
  </w:style>
  <w:style w:type="paragraph" w:customStyle="1" w:styleId="subject-e">
    <w:name w:val="subject-e"/>
    <w:pPr>
      <w:keepNext/>
      <w:tabs>
        <w:tab w:val="left" w:pos="0"/>
      </w:tabs>
      <w:suppressAutoHyphens/>
      <w:spacing w:before="140" w:line="190" w:lineRule="exact"/>
      <w:jc w:val="center"/>
    </w:pPr>
    <w:rPr>
      <w:caps/>
      <w:snapToGrid w:val="0"/>
      <w:lang w:val="en-GB" w:eastAsia="en-US"/>
    </w:rPr>
  </w:style>
  <w:style w:type="paragraph" w:customStyle="1" w:styleId="table-e">
    <w:name w:val="table-e"/>
    <w:pPr>
      <w:suppressAutoHyphens/>
      <w:spacing w:before="11" w:line="189" w:lineRule="exact"/>
    </w:pPr>
    <w:rPr>
      <w:snapToGrid w:val="0"/>
      <w:sz w:val="18"/>
      <w:lang w:val="en-GB" w:eastAsia="en-US"/>
    </w:rPr>
  </w:style>
  <w:style w:type="paragraph" w:customStyle="1" w:styleId="zheadingx-e">
    <w:name w:val="zheadingx-e"/>
    <w:pPr>
      <w:tabs>
        <w:tab w:val="left" w:pos="0"/>
      </w:tabs>
      <w:spacing w:after="139" w:line="191" w:lineRule="exact"/>
      <w:jc w:val="center"/>
    </w:pPr>
    <w:rPr>
      <w:rFonts w:ascii="Times" w:hAnsi="Times"/>
      <w:caps/>
      <w:snapToGrid w:val="0"/>
      <w:sz w:val="17"/>
      <w:lang w:val="en-GB" w:eastAsia="en-US"/>
    </w:rPr>
  </w:style>
  <w:style w:type="paragraph" w:customStyle="1" w:styleId="zparanoindt-e">
    <w:name w:val="zparanoindt-e"/>
    <w:pPr>
      <w:tabs>
        <w:tab w:val="right" w:pos="239"/>
        <w:tab w:val="left" w:pos="279"/>
      </w:tabs>
      <w:spacing w:after="139" w:line="190" w:lineRule="exact"/>
      <w:jc w:val="both"/>
    </w:pPr>
    <w:rPr>
      <w:rFonts w:ascii="Times" w:hAnsi="Times"/>
      <w:snapToGrid w:val="0"/>
      <w:sz w:val="17"/>
      <w:lang w:val="en-GB" w:eastAsia="en-US"/>
    </w:rPr>
  </w:style>
  <w:style w:type="paragraph" w:customStyle="1" w:styleId="zparawtab-e">
    <w:name w:val="zparawtab-e"/>
    <w:pPr>
      <w:tabs>
        <w:tab w:val="right" w:pos="239"/>
        <w:tab w:val="left" w:pos="279"/>
      </w:tabs>
      <w:spacing w:after="139" w:line="190" w:lineRule="exact"/>
      <w:jc w:val="both"/>
    </w:pPr>
    <w:rPr>
      <w:rFonts w:ascii="Times" w:hAnsi="Times"/>
      <w:snapToGrid w:val="0"/>
      <w:sz w:val="17"/>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193</Words>
  <Characters>1106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Form 27C Defence to Counterclaim</vt:lpstr>
    </vt:vector>
  </TitlesOfParts>
  <Manager/>
  <Company>Government of Ontario</Company>
  <LinksUpToDate>false</LinksUpToDate>
  <CharactersWithSpaces>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27C Defence to Counterclaim</dc:title>
  <dc:subject>RCP-E 27C (July 1, 2007)</dc:subject>
  <dc:creator>Civil Rules Committee</dc:creator>
  <cp:keywords/>
  <dc:description/>
  <cp:lastModifiedBy>Schell, Denise (MAG)</cp:lastModifiedBy>
  <cp:revision>2</cp:revision>
  <dcterms:created xsi:type="dcterms:W3CDTF">2021-11-10T19:27:00Z</dcterms:created>
  <dcterms:modified xsi:type="dcterms:W3CDTF">2021-11-10T19:27:00Z</dcterms:modified>
  <cp:category>Rules of Civil Procedure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2021-11-10T19:26:57Z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94d1c6da-2da3-434e-938b-bd26dc06e6d4</vt:lpwstr>
  </property>
  <property fmtid="{D5CDD505-2E9C-101B-9397-08002B2CF9AE}" pid="8" name="MSIP_Label_034a106e-6316-442c-ad35-738afd673d2b_ContentBits">
    <vt:lpwstr>0</vt:lpwstr>
  </property>
</Properties>
</file>